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139C5A32" w:rsidR="000229B1" w:rsidRDefault="00A8222D" w:rsidP="000229B1">
      <w:pPr>
        <w:widowControl w:val="0"/>
        <w:autoSpaceDE w:val="0"/>
        <w:autoSpaceDN w:val="0"/>
        <w:adjustRightInd w:val="0"/>
        <w:jc w:val="center"/>
      </w:pPr>
      <w:r>
        <w:t>Aranżację ogrodu w Gdańsku, ul. Jesionowa 6a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3C89C911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0CF37150" w14:textId="3C290F23" w:rsidR="00645691" w:rsidRPr="004578DC" w:rsidRDefault="00645691" w:rsidP="004578DC">
      <w:pPr>
        <w:numPr>
          <w:ilvl w:val="0"/>
          <w:numId w:val="7"/>
        </w:numPr>
        <w:spacing w:line="360" w:lineRule="auto"/>
        <w:jc w:val="both"/>
      </w:pPr>
      <w:r>
        <w:t>4) Koncepcja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15C0F561" w14:textId="77777777" w:rsidR="009541AF" w:rsidRDefault="009541AF" w:rsidP="00F67269">
      <w:pPr>
        <w:spacing w:line="360" w:lineRule="auto"/>
        <w:jc w:val="both"/>
      </w:pPr>
    </w:p>
    <w:p w14:paraId="4A8E42F3" w14:textId="77777777" w:rsidR="00645691" w:rsidRDefault="00645691" w:rsidP="00390A85">
      <w:pPr>
        <w:jc w:val="right"/>
        <w:rPr>
          <w:spacing w:val="-4"/>
        </w:rPr>
      </w:pPr>
    </w:p>
    <w:p w14:paraId="5F7E50A5" w14:textId="6EAEFF8A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4B4EB6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A8222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A8222D">
        <w:rPr>
          <w:w w:val="105"/>
          <w:lang w:val="en-US"/>
        </w:rPr>
        <w:t>Tel:</w:t>
      </w:r>
      <w:r w:rsidR="00F218F4" w:rsidRPr="00A8222D">
        <w:rPr>
          <w:lang w:val="en-US"/>
        </w:rPr>
        <w:t xml:space="preserve"> 58 555 78 78</w:t>
      </w:r>
    </w:p>
    <w:p w14:paraId="41460785" w14:textId="020FB197" w:rsidR="00D27FB3" w:rsidRPr="00A8222D" w:rsidRDefault="004B4EB6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A8222D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A8222D" w:rsidRDefault="004B4EB6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A8222D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A8222D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016C453E" w14:textId="229B4FC9" w:rsidR="00645691" w:rsidRDefault="007E4ADC" w:rsidP="00645691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645691">
        <w:t>wykonanie aranżacji</w:t>
      </w:r>
      <w:r w:rsidR="00645691">
        <w:t xml:space="preserve"> ogrodu w Gdańsku, ul. Jesionow</w:t>
      </w:r>
      <w:r w:rsidR="00645691">
        <w:t>ej</w:t>
      </w:r>
      <w:r w:rsidR="00645691">
        <w:t xml:space="preserve"> 6a</w:t>
      </w:r>
    </w:p>
    <w:p w14:paraId="3B508F16" w14:textId="1539A297" w:rsidR="00645691" w:rsidRDefault="00645691" w:rsidP="00645691">
      <w:pPr>
        <w:widowControl w:val="0"/>
        <w:autoSpaceDE w:val="0"/>
        <w:autoSpaceDN w:val="0"/>
        <w:adjustRightInd w:val="0"/>
        <w:ind w:right="133"/>
        <w:jc w:val="both"/>
      </w:pPr>
      <w:r>
        <w:t>Przed złożeniem oferty proszę o przeprowadzenie wizji lokalnej z uwagi na fakt, iż poniższy przedmiar może się różnić od rzeczywistych wymiarów. Koncepcja aranżacji ogrodu stanowi załącznik do niniejszego zapytania ofertowego.</w:t>
      </w:r>
      <w:r w:rsidR="004B4EB6">
        <w:t xml:space="preserve"> Minimalna długość gwarancji wynosi 24 miesiące (zarówno na roboty budowlane jak i na wyposażenie. </w:t>
      </w:r>
    </w:p>
    <w:p w14:paraId="3F3B12F5" w14:textId="77777777" w:rsidR="00645691" w:rsidRDefault="00645691" w:rsidP="00645691">
      <w:pPr>
        <w:widowControl w:val="0"/>
        <w:autoSpaceDE w:val="0"/>
        <w:autoSpaceDN w:val="0"/>
        <w:adjustRightInd w:val="0"/>
        <w:ind w:right="133"/>
        <w:jc w:val="both"/>
      </w:pPr>
    </w:p>
    <w:p w14:paraId="04C2AE7E" w14:textId="56D54E51" w:rsidR="00645691" w:rsidRDefault="00645691" w:rsidP="00645691">
      <w:pPr>
        <w:widowControl w:val="0"/>
        <w:autoSpaceDE w:val="0"/>
        <w:autoSpaceDN w:val="0"/>
        <w:adjustRightInd w:val="0"/>
        <w:ind w:right="133"/>
        <w:jc w:val="center"/>
      </w:pPr>
      <w:r w:rsidRPr="00645691">
        <w:lastRenderedPageBreak/>
        <w:drawing>
          <wp:inline distT="0" distB="0" distL="0" distR="0" wp14:anchorId="502A5763" wp14:editId="03674244">
            <wp:extent cx="2972058" cy="6629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058" cy="66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6643" w14:textId="77777777" w:rsidR="004B4EB6" w:rsidRDefault="004B4EB6" w:rsidP="00645691">
      <w:pPr>
        <w:widowControl w:val="0"/>
        <w:autoSpaceDE w:val="0"/>
        <w:autoSpaceDN w:val="0"/>
        <w:adjustRightInd w:val="0"/>
        <w:ind w:right="133"/>
        <w:jc w:val="both"/>
        <w:rPr>
          <w:spacing w:val="-2"/>
        </w:rPr>
      </w:pPr>
    </w:p>
    <w:p w14:paraId="00E22AB6" w14:textId="70F48BBB" w:rsidR="00390A85" w:rsidRDefault="009B7186" w:rsidP="00645691">
      <w:pPr>
        <w:widowControl w:val="0"/>
        <w:autoSpaceDE w:val="0"/>
        <w:autoSpaceDN w:val="0"/>
        <w:adjustRightInd w:val="0"/>
        <w:ind w:right="133"/>
        <w:jc w:val="both"/>
        <w:rPr>
          <w:spacing w:val="-2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B2359D">
        <w:rPr>
          <w:spacing w:val="-2"/>
        </w:rPr>
        <w:t>roboty budowlane</w:t>
      </w:r>
      <w:r w:rsidR="00645691">
        <w:rPr>
          <w:spacing w:val="-2"/>
        </w:rPr>
        <w:t xml:space="preserve"> i dostawy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B2359D">
        <w:rPr>
          <w:spacing w:val="-2"/>
        </w:rPr>
        <w:t>.</w:t>
      </w:r>
    </w:p>
    <w:p w14:paraId="4E717450" w14:textId="518B8830" w:rsidR="004B4EB6" w:rsidRDefault="004B4EB6" w:rsidP="00645691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2"/>
        </w:rPr>
        <w:t>Zamawiający może zrezygnować z całości lub części zamówienia bez podania przyczyny.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600858E" w14:textId="58F8BABA" w:rsidR="00E56263" w:rsidRPr="00B2359D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  <w:r w:rsidR="00E56263">
        <w:fldChar w:fldCharType="begin"/>
      </w:r>
      <w:r w:rsidR="00E56263">
        <w:instrText>HYPERLINK "https://www.portalzp.pl/kody-cpv/szczegoly/roboty-budowlane-6346"</w:instrText>
      </w:r>
      <w:r w:rsidR="00E56263">
        <w:fldChar w:fldCharType="separate"/>
      </w:r>
    </w:p>
    <w:p w14:paraId="5D10435D" w14:textId="5EF796F3" w:rsidR="00E56263" w:rsidRPr="00B2359D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B2359D">
        <w:t>45000000-7: Roboty budowlane</w:t>
      </w:r>
    </w:p>
    <w:p w14:paraId="0023F920" w14:textId="2488DF86" w:rsidR="00390A85" w:rsidRPr="00B87087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fldChar w:fldCharType="end"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7590FD77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645691">
        <w:t>30.04</w:t>
      </w:r>
      <w:r w:rsidR="006A2900">
        <w:t>.202</w:t>
      </w:r>
      <w:r w:rsidR="00645691">
        <w:t>4</w:t>
      </w:r>
      <w:r w:rsidR="006A2900">
        <w:t>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lastRenderedPageBreak/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4B4EB6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10BE6E8D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</w:t>
      </w:r>
      <w:r w:rsidR="006A2900">
        <w:t>,</w:t>
      </w:r>
      <w:r w:rsidR="004F08BC">
        <w:t xml:space="preserve"> </w:t>
      </w:r>
      <w:r w:rsidR="006A2900">
        <w:t>dostawa i konfiguracja serwera.</w:t>
      </w:r>
    </w:p>
    <w:p w14:paraId="69B3D818" w14:textId="49221085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4. Osobą uprawnioną ze strony Zamawiającego do kontaktów z Wykonawcami</w:t>
      </w:r>
      <w:r w:rsidR="00645691">
        <w:t>:</w:t>
      </w:r>
      <w:r w:rsidRPr="00B87087">
        <w:t xml:space="preserve"> </w:t>
      </w:r>
      <w:r w:rsidR="00645691">
        <w:t xml:space="preserve">pod nr </w:t>
      </w:r>
      <w:r w:rsidRPr="00B87087">
        <w:t>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proofErr w:type="gramStart"/>
      <w:r w:rsidRPr="00B87087">
        <w:t>Oferta  winna</w:t>
      </w:r>
      <w:proofErr w:type="gramEnd"/>
      <w:r w:rsidRPr="00B87087">
        <w:t xml:space="preserve">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lastRenderedPageBreak/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63447A08" w14:textId="50A654D8" w:rsidR="00E56263" w:rsidRDefault="001D52AC" w:rsidP="00E56263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645691">
        <w:t>Aranżacj</w:t>
      </w:r>
      <w:r w:rsidR="00645691">
        <w:t>a</w:t>
      </w:r>
      <w:r w:rsidR="00645691">
        <w:t xml:space="preserve"> ogrodu w Gdańsku, ul. Jesionowa 6a</w:t>
      </w:r>
    </w:p>
    <w:p w14:paraId="2FBB3423" w14:textId="550A7A3E" w:rsidR="001D52AC" w:rsidRPr="00E56263" w:rsidRDefault="004B4EB6" w:rsidP="00E56263">
      <w:pPr>
        <w:rPr>
          <w:rFonts w:ascii="Verdana" w:hAnsi="Verdana"/>
          <w:color w:val="014495"/>
        </w:rPr>
      </w:pPr>
      <w:hyperlink r:id="rId14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5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2ED27E56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645691">
        <w:rPr>
          <w:b/>
          <w:spacing w:val="-2"/>
        </w:rPr>
        <w:t>4.02</w:t>
      </w:r>
      <w:r w:rsidR="005375D1">
        <w:rPr>
          <w:b/>
          <w:spacing w:val="-2"/>
        </w:rPr>
        <w:t>.202</w:t>
      </w:r>
      <w:r w:rsidR="00645691">
        <w:rPr>
          <w:b/>
          <w:spacing w:val="-2"/>
        </w:rPr>
        <w:t>4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7FE4E8C9" w:rsidR="00894DC1" w:rsidRPr="00B87087" w:rsidRDefault="004B4EB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4B4EB6" w:rsidRPr="00B87087" w14:paraId="6BC8AE47" w14:textId="77777777" w:rsidTr="002B5E56">
        <w:trPr>
          <w:jc w:val="center"/>
        </w:trPr>
        <w:tc>
          <w:tcPr>
            <w:tcW w:w="672" w:type="dxa"/>
          </w:tcPr>
          <w:p w14:paraId="5172A2D0" w14:textId="0B561330" w:rsidR="004B4EB6" w:rsidRPr="00B87087" w:rsidRDefault="004B4EB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35DCE326" w14:textId="0EE72AF0" w:rsidR="004B4EB6" w:rsidRPr="00B87087" w:rsidRDefault="004B4EB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Gwarancja</w:t>
            </w:r>
          </w:p>
        </w:tc>
        <w:tc>
          <w:tcPr>
            <w:tcW w:w="3160" w:type="dxa"/>
          </w:tcPr>
          <w:p w14:paraId="7602FD9F" w14:textId="09B8C900" w:rsidR="004B4EB6" w:rsidRDefault="004B4EB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lastRenderedPageBreak/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1C6E789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E56263">
        <w:rPr>
          <w:spacing w:val="-3"/>
        </w:rPr>
        <w:t>10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55504E06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50C62FF" w14:textId="7638977C" w:rsidR="004B4EB6" w:rsidRPr="00B87087" w:rsidRDefault="004B4EB6" w:rsidP="004B4EB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II gwarancja</w:t>
      </w:r>
      <w:r>
        <w:rPr>
          <w:spacing w:val="-4"/>
        </w:rPr>
        <w:t>:</w:t>
      </w:r>
    </w:p>
    <w:p w14:paraId="773ED22F" w14:textId="77777777" w:rsidR="004B4EB6" w:rsidRPr="00B87087" w:rsidRDefault="004B4EB6" w:rsidP="004B4EB6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1C6B3537" w14:textId="7C7C5FAD" w:rsidR="004B4EB6" w:rsidRDefault="004B4EB6" w:rsidP="004B4EB6">
      <w:pPr>
        <w:widowControl w:val="0"/>
        <w:autoSpaceDE w:val="0"/>
        <w:autoSpaceDN w:val="0"/>
        <w:adjustRightInd w:val="0"/>
        <w:ind w:right="2685"/>
        <w:jc w:val="both"/>
        <w:rPr>
          <w:spacing w:val="-1"/>
        </w:rPr>
      </w:pPr>
      <w:r>
        <w:rPr>
          <w:spacing w:val="-1"/>
        </w:rPr>
        <w:t>Do 24 miesięcy – 0 punktów</w:t>
      </w:r>
    </w:p>
    <w:p w14:paraId="4A6F7B10" w14:textId="2EF08308" w:rsidR="004B4EB6" w:rsidRDefault="004B4EB6" w:rsidP="004B4EB6">
      <w:pPr>
        <w:widowControl w:val="0"/>
        <w:autoSpaceDE w:val="0"/>
        <w:autoSpaceDN w:val="0"/>
        <w:adjustRightInd w:val="0"/>
        <w:ind w:right="2685"/>
        <w:jc w:val="both"/>
        <w:rPr>
          <w:spacing w:val="-1"/>
        </w:rPr>
      </w:pPr>
      <w:r>
        <w:rPr>
          <w:spacing w:val="-1"/>
        </w:rPr>
        <w:t>Od 25 do 36 miesięcy – 10 punktów</w:t>
      </w:r>
    </w:p>
    <w:p w14:paraId="5BDFA46B" w14:textId="709A03AC" w:rsidR="004B4EB6" w:rsidRDefault="004B4EB6" w:rsidP="004B4EB6">
      <w:pPr>
        <w:widowControl w:val="0"/>
        <w:autoSpaceDE w:val="0"/>
        <w:autoSpaceDN w:val="0"/>
        <w:adjustRightInd w:val="0"/>
        <w:ind w:right="2685"/>
        <w:jc w:val="both"/>
        <w:rPr>
          <w:spacing w:val="-1"/>
        </w:rPr>
      </w:pPr>
      <w:r>
        <w:rPr>
          <w:spacing w:val="-1"/>
        </w:rPr>
        <w:t>Od 37 do 48 miesięcy – 15 punktów</w:t>
      </w:r>
    </w:p>
    <w:p w14:paraId="5F8BDBE3" w14:textId="7E3AF04E" w:rsidR="004B4EB6" w:rsidRPr="00B87087" w:rsidRDefault="004B4EB6" w:rsidP="004B4EB6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1"/>
        </w:rPr>
        <w:t>Od 49 do 60 miesięcy – 20 punktów</w:t>
      </w:r>
    </w:p>
    <w:p w14:paraId="04CE2FCC" w14:textId="77777777" w:rsidR="004B4EB6" w:rsidRDefault="004B4EB6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lastRenderedPageBreak/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5C458135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717AB188" w14:textId="55A22560" w:rsidR="00645691" w:rsidRDefault="0064569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3) Koncepcja ogrodu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ADD16BE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EBE615A" w14:textId="38A96395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5E1335" w14:textId="1513CE6B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E2A382" w14:textId="18A77464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28E2B6" w14:textId="1A8E5DC6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B03FEE" w14:textId="1E9186D9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FEEF033" w14:textId="1C81A54D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4AF4D78" w14:textId="443BCDE9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572AE7" w14:textId="3C15AFCB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705CA5A" w14:textId="24309CBD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F9C16B" w14:textId="437E2001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89EA333" w14:textId="58E7B76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734554" w14:textId="7D3784B9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EBABE9" w14:textId="4D2EE97A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BBFD360" w14:textId="291CCC7D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0DD9D3E" w14:textId="60E6387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B108750" w14:textId="44240BB6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5E22480" w14:textId="3F9F251B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75F5825" w14:textId="7FC56D6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026906" w14:textId="7B83E0F8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D5A897A" w14:textId="6558B8B4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7B2B1C0" w14:textId="3D59DCDB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B7A89B0" w14:textId="6700ED64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A007F8" w14:textId="7B5E8B7C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519FE71" w14:textId="0143328F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9F75505" w14:textId="708555B7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6363BF6" w14:textId="29A732F2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E5A3AF2" w14:textId="3693FEE7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6A6A51B" w14:textId="2218D7B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17AE2B" w14:textId="5D816DAD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597FAE" w14:textId="09841D64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C683D60" w14:textId="3607609F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1277F2" w14:textId="639063FE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558E263" w14:textId="2DF1C50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F1FBDC9" w14:textId="6FC09C9C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450FA5" w14:textId="33761A43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DA56B4" w14:textId="573D137A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D211239" w14:textId="58C50BEB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670FD7" w14:textId="7ED759EF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A213D2" w14:textId="77777777" w:rsidR="004B4EB6" w:rsidRDefault="004B4EB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0A7883F6" w14:textId="77777777" w:rsidR="00645691" w:rsidRDefault="00390A85" w:rsidP="00645691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645691">
        <w:t>Aranżacja ogrodu w Gdańsku, ul. Jesionowa 6a</w:t>
      </w:r>
    </w:p>
    <w:p w14:paraId="3372547D" w14:textId="4C6B1962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05E54BB0" w:rsidR="00F31B44" w:rsidRPr="00645691" w:rsidRDefault="00645691" w:rsidP="00324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Aranżacja ogrodu w Gdańsku, ul. Jesionowa 6a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9D6439C" w14:textId="32DF2BA4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69A0FF1" w14:textId="4F625077" w:rsidR="004B4EB6" w:rsidRDefault="004B4EB6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9B5BCC0" w14:textId="77777777" w:rsidR="004B4EB6" w:rsidRDefault="004B4EB6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8A0708" w14:textId="77777777" w:rsidR="00645691" w:rsidRDefault="00645691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D34BBF8" w14:textId="77777777" w:rsidR="00645691" w:rsidRDefault="00390A85" w:rsidP="00645691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645691">
        <w:t>Aranżacja ogrodu w Gdańsku, ul. Jesionowa 6a</w:t>
      </w:r>
    </w:p>
    <w:p w14:paraId="5417A5B0" w14:textId="0B1BD44A" w:rsidR="00390A85" w:rsidRDefault="00390A85" w:rsidP="00E56263">
      <w:pPr>
        <w:widowControl w:val="0"/>
        <w:autoSpaceDE w:val="0"/>
        <w:autoSpaceDN w:val="0"/>
        <w:adjustRightInd w:val="0"/>
        <w:jc w:val="both"/>
      </w:pPr>
    </w:p>
    <w:p w14:paraId="490551E6" w14:textId="77777777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324DA3" w:rsidSect="00A0404F">
      <w:headerReference w:type="default" r:id="rId16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4EB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5691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8222D"/>
    <w:rsid w:val="00A92AB4"/>
    <w:rsid w:val="00AA06A1"/>
    <w:rsid w:val="00AA4DB3"/>
    <w:rsid w:val="00AC757C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gdansk@caritas.gda.pl" TargetMode="Externa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https://www.portalzp.pl/kody-cpv/szczegoly/roboty-budowlane-63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9</Pages>
  <Words>1396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9</cp:revision>
  <cp:lastPrinted>2023-09-14T13:12:00Z</cp:lastPrinted>
  <dcterms:created xsi:type="dcterms:W3CDTF">2023-10-04T07:15:00Z</dcterms:created>
  <dcterms:modified xsi:type="dcterms:W3CDTF">2024-01-19T12:51:00Z</dcterms:modified>
</cp:coreProperties>
</file>